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6018" w:rsidRDefault="00887C6C" w:rsidP="00E74810">
      <w:pPr>
        <w:pStyle w:val="BodyText"/>
        <w:spacing w:before="9"/>
        <w:jc w:val="center"/>
        <w:rPr>
          <w:b/>
        </w:rPr>
      </w:pPr>
      <w:r>
        <w:rPr>
          <w:b/>
        </w:rPr>
        <w:t>27.</w:t>
      </w:r>
    </w:p>
    <w:p w:rsidR="00887C6C" w:rsidRDefault="00887C6C" w:rsidP="00887C6C">
      <w:pPr>
        <w:pStyle w:val="BodyText"/>
        <w:spacing w:before="9"/>
        <w:rPr>
          <w:sz w:val="20"/>
          <w:szCs w:val="20"/>
        </w:rPr>
      </w:pPr>
    </w:p>
    <w:p w:rsidR="00E74810" w:rsidRPr="00887C6C" w:rsidRDefault="00887C6C" w:rsidP="00887C6C">
      <w:pPr>
        <w:pStyle w:val="BodyText"/>
        <w:spacing w:before="9"/>
        <w:rPr>
          <w:b/>
        </w:rPr>
      </w:pPr>
      <w:r w:rsidRPr="00887C6C">
        <w:t>Para. 86A</w:t>
      </w:r>
      <w:r w:rsidRPr="00887C6C">
        <w:tab/>
      </w:r>
      <w:r w:rsidRPr="00887C6C">
        <w:tab/>
      </w:r>
      <w:r w:rsidRPr="00887C6C">
        <w:tab/>
      </w:r>
      <w:r>
        <w:t xml:space="preserve">        </w:t>
      </w:r>
      <w:r w:rsidR="00E74810" w:rsidRPr="00887C6C">
        <w:rPr>
          <w:b/>
        </w:rPr>
        <w:t>Appeals Information Sheet</w:t>
      </w:r>
    </w:p>
    <w:p w:rsidR="00E74810" w:rsidRPr="00E74810" w:rsidRDefault="00E74810" w:rsidP="00E74810">
      <w:pPr>
        <w:pStyle w:val="BodyText"/>
        <w:spacing w:before="9"/>
        <w:jc w:val="center"/>
        <w:rPr>
          <w:b/>
        </w:rPr>
      </w:pPr>
    </w:p>
    <w:tbl>
      <w:tblPr>
        <w:tblStyle w:val="TableGrid"/>
        <w:tblW w:w="0" w:type="auto"/>
        <w:tblLook w:val="04A0" w:firstRow="1" w:lastRow="0" w:firstColumn="1" w:lastColumn="0" w:noHBand="0" w:noVBand="1"/>
      </w:tblPr>
      <w:tblGrid>
        <w:gridCol w:w="4755"/>
        <w:gridCol w:w="4725"/>
      </w:tblGrid>
      <w:tr w:rsidR="00961D97" w:rsidTr="00887C6C">
        <w:trPr>
          <w:trHeight w:val="1316"/>
        </w:trPr>
        <w:tc>
          <w:tcPr>
            <w:tcW w:w="4853" w:type="dxa"/>
          </w:tcPr>
          <w:p w:rsidR="00961D97" w:rsidRPr="00C47D1D" w:rsidRDefault="00961D97" w:rsidP="00C47D1D">
            <w:pPr>
              <w:pStyle w:val="BodyText"/>
              <w:spacing w:before="240" w:after="240"/>
              <w:rPr>
                <w:b/>
              </w:rPr>
            </w:pPr>
            <w:r w:rsidRPr="00C47D1D">
              <w:rPr>
                <w:b/>
              </w:rPr>
              <w:t>Case Number(s)</w:t>
            </w:r>
          </w:p>
        </w:tc>
        <w:tc>
          <w:tcPr>
            <w:tcW w:w="4853" w:type="dxa"/>
          </w:tcPr>
          <w:p w:rsidR="00961D97" w:rsidRPr="00C47D1D" w:rsidRDefault="00961D97" w:rsidP="00C47D1D">
            <w:pPr>
              <w:pStyle w:val="BodyText"/>
              <w:spacing w:before="240" w:after="240"/>
              <w:rPr>
                <w:b/>
              </w:rPr>
            </w:pPr>
          </w:p>
        </w:tc>
      </w:tr>
      <w:tr w:rsidR="00961D97" w:rsidTr="00887C6C">
        <w:trPr>
          <w:trHeight w:val="1249"/>
        </w:trPr>
        <w:tc>
          <w:tcPr>
            <w:tcW w:w="4853" w:type="dxa"/>
          </w:tcPr>
          <w:p w:rsidR="00961D97" w:rsidRPr="00C47D1D" w:rsidRDefault="00961D97" w:rsidP="00C47D1D">
            <w:pPr>
              <w:pStyle w:val="BodyText"/>
              <w:spacing w:before="240" w:after="240"/>
              <w:rPr>
                <w:b/>
              </w:rPr>
            </w:pPr>
            <w:r w:rsidRPr="00C47D1D">
              <w:rPr>
                <w:b/>
              </w:rPr>
              <w:t>Name(s) of Party / Parties</w:t>
            </w:r>
          </w:p>
        </w:tc>
        <w:tc>
          <w:tcPr>
            <w:tcW w:w="4853" w:type="dxa"/>
          </w:tcPr>
          <w:p w:rsidR="00961D97" w:rsidRPr="00C47D1D" w:rsidRDefault="00961D97" w:rsidP="00C47D1D">
            <w:pPr>
              <w:pStyle w:val="BodyText"/>
              <w:spacing w:before="240" w:after="240"/>
              <w:rPr>
                <w:b/>
              </w:rPr>
            </w:pPr>
          </w:p>
        </w:tc>
      </w:tr>
      <w:tr w:rsidR="00961D97" w:rsidTr="00887C6C">
        <w:trPr>
          <w:trHeight w:val="1267"/>
        </w:trPr>
        <w:tc>
          <w:tcPr>
            <w:tcW w:w="4853" w:type="dxa"/>
          </w:tcPr>
          <w:p w:rsidR="00961D97" w:rsidRPr="00C47D1D" w:rsidRDefault="00961D97" w:rsidP="00C47D1D">
            <w:pPr>
              <w:pStyle w:val="BodyText"/>
              <w:spacing w:before="240" w:after="240"/>
              <w:rPr>
                <w:b/>
              </w:rPr>
            </w:pPr>
            <w:r>
              <w:rPr>
                <w:b/>
              </w:rPr>
              <w:t>Name(s) of Lead Counsel</w:t>
            </w:r>
          </w:p>
        </w:tc>
        <w:tc>
          <w:tcPr>
            <w:tcW w:w="4853" w:type="dxa"/>
          </w:tcPr>
          <w:p w:rsidR="00961D97" w:rsidRPr="00C47D1D" w:rsidRDefault="00961D97" w:rsidP="00C47D1D">
            <w:pPr>
              <w:pStyle w:val="BodyText"/>
              <w:spacing w:before="240" w:after="240"/>
              <w:rPr>
                <w:b/>
              </w:rPr>
            </w:pPr>
          </w:p>
        </w:tc>
      </w:tr>
    </w:tbl>
    <w:p w:rsidR="00961D97" w:rsidRPr="00961D97" w:rsidRDefault="00961D97">
      <w:pPr>
        <w:pStyle w:val="BodyText"/>
        <w:spacing w:before="9"/>
        <w:rPr>
          <w:b/>
        </w:rPr>
      </w:pPr>
    </w:p>
    <w:p w:rsidR="00887C6C" w:rsidRDefault="00887C6C" w:rsidP="00887C6C">
      <w:pPr>
        <w:pStyle w:val="Default"/>
        <w:rPr>
          <w:b/>
          <w:bCs/>
        </w:rPr>
      </w:pPr>
      <w:r>
        <w:rPr>
          <w:b/>
          <w:bCs/>
        </w:rPr>
        <w:t xml:space="preserve">Important or Significant Questions of Law on Appeal </w:t>
      </w:r>
    </w:p>
    <w:p w:rsidR="00887C6C" w:rsidRDefault="00887C6C" w:rsidP="00887C6C">
      <w:pPr>
        <w:pStyle w:val="Default"/>
      </w:pPr>
    </w:p>
    <w:p w:rsidR="00887C6C" w:rsidRDefault="00887C6C" w:rsidP="00887C6C">
      <w:pPr>
        <w:pStyle w:val="Default"/>
        <w:numPr>
          <w:ilvl w:val="0"/>
          <w:numId w:val="2"/>
        </w:numPr>
        <w:jc w:val="both"/>
      </w:pPr>
      <w:r>
        <w:t>Please specify if there is any important or significant question of law raised in the appeal. This includes, but is not limited to, any question of law that (a) is novel or highly complex; (b) may lead to a significant development in the law; (c) involves potentially distinguishing or overruling of existing precedent cases; and(d)is of significant public importance.</w:t>
      </w:r>
    </w:p>
    <w:p w:rsidR="00887C6C" w:rsidRDefault="00887C6C" w:rsidP="00887C6C">
      <w:pPr>
        <w:pStyle w:val="Default"/>
      </w:pPr>
    </w:p>
    <w:p w:rsidR="00887C6C" w:rsidRDefault="00887C6C" w:rsidP="00887C6C">
      <w:pPr>
        <w:pStyle w:val="Default"/>
        <w:ind w:left="360"/>
        <w:jc w:val="both"/>
      </w:pPr>
      <w:r>
        <w:t xml:space="preserve">If there is any such question of law raised in the appeal, please state the question of law and the factor or factors that make it important or significant. </w:t>
      </w:r>
    </w:p>
    <w:p w:rsidR="00887C6C" w:rsidRDefault="00887C6C" w:rsidP="00887C6C">
      <w:pPr>
        <w:pStyle w:val="Default"/>
        <w:jc w:val="both"/>
      </w:pPr>
    </w:p>
    <w:p w:rsidR="00887C6C" w:rsidRDefault="00887C6C" w:rsidP="00887C6C">
      <w:pPr>
        <w:pStyle w:val="Default"/>
        <w:ind w:left="360"/>
        <w:jc w:val="both"/>
      </w:pPr>
      <w:r>
        <w:t xml:space="preserve">Please include relevant case citations with pinpoint references if possible. </w:t>
      </w:r>
    </w:p>
    <w:p w:rsidR="00961D97" w:rsidRDefault="00961D97">
      <w:pPr>
        <w:pStyle w:val="BodyText"/>
        <w:spacing w:before="9"/>
        <w:rPr>
          <w:b/>
        </w:rPr>
      </w:pPr>
    </w:p>
    <w:tbl>
      <w:tblPr>
        <w:tblStyle w:val="TableGrid"/>
        <w:tblW w:w="0" w:type="auto"/>
        <w:tblLook w:val="04A0" w:firstRow="1" w:lastRow="0" w:firstColumn="1" w:lastColumn="0" w:noHBand="0" w:noVBand="1"/>
      </w:tblPr>
      <w:tblGrid>
        <w:gridCol w:w="9480"/>
      </w:tblGrid>
      <w:tr w:rsidR="00961D97" w:rsidTr="00887C6C">
        <w:trPr>
          <w:trHeight w:val="3889"/>
        </w:trPr>
        <w:tc>
          <w:tcPr>
            <w:tcW w:w="9706" w:type="dxa"/>
          </w:tcPr>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p w:rsidR="00961D97" w:rsidRDefault="00961D97">
            <w:pPr>
              <w:pStyle w:val="BodyText"/>
              <w:spacing w:before="9"/>
              <w:rPr>
                <w:b/>
              </w:rPr>
            </w:pPr>
          </w:p>
        </w:tc>
      </w:tr>
    </w:tbl>
    <w:p w:rsidR="00961D97" w:rsidRDefault="00961D97">
      <w:pPr>
        <w:pStyle w:val="BodyText"/>
        <w:spacing w:before="9"/>
        <w:rPr>
          <w:b/>
        </w:rPr>
      </w:pPr>
    </w:p>
    <w:p w:rsidR="00887C6C" w:rsidRDefault="00887C6C">
      <w:pPr>
        <w:rPr>
          <w:b/>
          <w:sz w:val="24"/>
          <w:szCs w:val="24"/>
        </w:rPr>
      </w:pPr>
      <w:r>
        <w:rPr>
          <w:b/>
        </w:rPr>
        <w:br w:type="page"/>
      </w:r>
    </w:p>
    <w:p w:rsidR="00887C6C" w:rsidRDefault="00887C6C" w:rsidP="00887C6C">
      <w:pPr>
        <w:pStyle w:val="Default"/>
        <w:rPr>
          <w:b/>
          <w:bCs/>
          <w:szCs w:val="16"/>
          <w:vertAlign w:val="superscript"/>
        </w:rPr>
      </w:pPr>
      <w:r>
        <w:rPr>
          <w:b/>
          <w:bCs/>
        </w:rPr>
        <w:t>Matters in the Sixth Schedule to the Supreme Court of Judicature Act</w:t>
      </w:r>
      <w:r w:rsidRPr="00887C6C">
        <w:rPr>
          <w:b/>
          <w:bCs/>
          <w:szCs w:val="16"/>
          <w:vertAlign w:val="superscript"/>
        </w:rPr>
        <w:t>1</w:t>
      </w:r>
    </w:p>
    <w:p w:rsidR="00887C6C" w:rsidRDefault="00887C6C" w:rsidP="00887C6C">
      <w:pPr>
        <w:pStyle w:val="Default"/>
        <w:rPr>
          <w:sz w:val="16"/>
          <w:szCs w:val="16"/>
        </w:rPr>
      </w:pPr>
      <w:r w:rsidRPr="00887C6C">
        <w:rPr>
          <w:b/>
          <w:bCs/>
          <w:szCs w:val="16"/>
          <w:vertAlign w:val="superscript"/>
        </w:rPr>
        <w:t xml:space="preserve"> </w:t>
      </w:r>
    </w:p>
    <w:p w:rsidR="00887C6C" w:rsidRDefault="00887C6C" w:rsidP="00887C6C">
      <w:pPr>
        <w:pStyle w:val="Default"/>
        <w:numPr>
          <w:ilvl w:val="0"/>
          <w:numId w:val="2"/>
        </w:numPr>
        <w:jc w:val="both"/>
        <w:rPr>
          <w:sz w:val="16"/>
          <w:szCs w:val="16"/>
        </w:rPr>
      </w:pPr>
      <w:r>
        <w:t>If you are the Appellant, please state whether any legal issue raised in the appeal engages any matter set out in paragraph 1(a) to (j) of the Sixth Schedule to the Supreme Court of Judicature Act.</w:t>
      </w:r>
      <w:r w:rsidRPr="00887C6C">
        <w:rPr>
          <w:szCs w:val="16"/>
          <w:vertAlign w:val="superscript"/>
        </w:rPr>
        <w:t>2</w:t>
      </w:r>
    </w:p>
    <w:p w:rsidR="00887C6C" w:rsidRDefault="00887C6C" w:rsidP="00887C6C">
      <w:pPr>
        <w:pStyle w:val="Default"/>
        <w:rPr>
          <w:sz w:val="16"/>
          <w:szCs w:val="16"/>
        </w:rPr>
      </w:pPr>
    </w:p>
    <w:p w:rsidR="00887C6C" w:rsidRDefault="00887C6C" w:rsidP="00887C6C">
      <w:pPr>
        <w:pStyle w:val="Default"/>
        <w:ind w:left="360"/>
      </w:pPr>
      <w:r>
        <w:t>If so, please state every such issue and every such matter that is engaged.</w:t>
      </w:r>
    </w:p>
    <w:p w:rsidR="00961D97" w:rsidRDefault="00961D97" w:rsidP="00961D97">
      <w:pPr>
        <w:pStyle w:val="BodyText"/>
        <w:spacing w:before="9"/>
        <w:jc w:val="both"/>
        <w:rPr>
          <w:b/>
        </w:rPr>
      </w:pPr>
    </w:p>
    <w:tbl>
      <w:tblPr>
        <w:tblStyle w:val="TableGrid"/>
        <w:tblW w:w="0" w:type="auto"/>
        <w:tblLook w:val="04A0" w:firstRow="1" w:lastRow="0" w:firstColumn="1" w:lastColumn="0" w:noHBand="0" w:noVBand="1"/>
      </w:tblPr>
      <w:tblGrid>
        <w:gridCol w:w="9480"/>
      </w:tblGrid>
      <w:tr w:rsidR="00961D97" w:rsidTr="00887C6C">
        <w:trPr>
          <w:trHeight w:val="3767"/>
        </w:trPr>
        <w:tc>
          <w:tcPr>
            <w:tcW w:w="9706" w:type="dxa"/>
          </w:tcPr>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p w:rsidR="00961D97" w:rsidRDefault="00961D97" w:rsidP="00961D97">
            <w:pPr>
              <w:pStyle w:val="BodyText"/>
              <w:spacing w:before="9"/>
              <w:jc w:val="both"/>
              <w:rPr>
                <w:b/>
              </w:rPr>
            </w:pPr>
          </w:p>
        </w:tc>
      </w:tr>
    </w:tbl>
    <w:p w:rsidR="00961D97" w:rsidRDefault="00961D97" w:rsidP="00961D97">
      <w:pPr>
        <w:pStyle w:val="BodyText"/>
        <w:spacing w:before="9"/>
        <w:jc w:val="both"/>
        <w:rPr>
          <w:b/>
        </w:rPr>
      </w:pPr>
    </w:p>
    <w:p w:rsidR="00887C6C" w:rsidRDefault="00887C6C" w:rsidP="00887C6C">
      <w:pPr>
        <w:pStyle w:val="Default"/>
        <w:jc w:val="both"/>
        <w:rPr>
          <w:b/>
          <w:bCs/>
        </w:rPr>
      </w:pPr>
      <w:r>
        <w:rPr>
          <w:b/>
          <w:bCs/>
        </w:rPr>
        <w:t xml:space="preserve">[For appeals to the Appellate Division] Whether it is more appropriate for the Court of Appeal to hear the appeal </w:t>
      </w:r>
    </w:p>
    <w:p w:rsidR="00887C6C" w:rsidRDefault="00887C6C" w:rsidP="00887C6C">
      <w:pPr>
        <w:pStyle w:val="Default"/>
        <w:jc w:val="both"/>
      </w:pPr>
    </w:p>
    <w:p w:rsidR="00887C6C" w:rsidRDefault="00887C6C" w:rsidP="00887C6C">
      <w:pPr>
        <w:pStyle w:val="Default"/>
        <w:numPr>
          <w:ilvl w:val="0"/>
          <w:numId w:val="2"/>
        </w:numPr>
        <w:jc w:val="both"/>
      </w:pPr>
      <w:r>
        <w:t xml:space="preserve">Please state whether any of the matters set out in Order 56A, Rule 12(3) of the Rules of Court is present in this </w:t>
      </w:r>
      <w:proofErr w:type="gramStart"/>
      <w:r>
        <w:t>appeal, and</w:t>
      </w:r>
      <w:proofErr w:type="gramEnd"/>
      <w:r>
        <w:t xml:space="preserve"> provide brief reasons.</w:t>
      </w:r>
    </w:p>
    <w:p w:rsidR="00887C6C" w:rsidRDefault="00887C6C" w:rsidP="00887C6C">
      <w:pPr>
        <w:pStyle w:val="Default"/>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887C6C" w:rsidRDefault="00887C6C"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961D97" w:rsidRDefault="00961D97" w:rsidP="00887C6C">
      <w:pPr>
        <w:pStyle w:val="BodyText"/>
        <w:pBdr>
          <w:top w:val="single" w:sz="4" w:space="1" w:color="auto"/>
          <w:left w:val="single" w:sz="4" w:space="4" w:color="auto"/>
          <w:bottom w:val="single" w:sz="4" w:space="31" w:color="auto"/>
          <w:right w:val="single" w:sz="4" w:space="4" w:color="auto"/>
        </w:pBdr>
        <w:spacing w:before="9"/>
        <w:jc w:val="both"/>
        <w:rPr>
          <w:b/>
        </w:rPr>
      </w:pPr>
    </w:p>
    <w:p w:rsidR="00961D97" w:rsidRDefault="00961D97" w:rsidP="00887C6C">
      <w:pPr>
        <w:pStyle w:val="BodyText"/>
        <w:spacing w:before="9"/>
        <w:rPr>
          <w:b/>
        </w:rPr>
      </w:pPr>
    </w:p>
    <w:p w:rsidR="00887C6C" w:rsidRDefault="00887C6C" w:rsidP="00887C6C">
      <w:pPr>
        <w:pStyle w:val="BodyText"/>
        <w:spacing w:before="9"/>
        <w:rPr>
          <w:b/>
        </w:rPr>
      </w:pPr>
    </w:p>
    <w:p w:rsidR="00887C6C" w:rsidRDefault="00887C6C" w:rsidP="00887C6C">
      <w:pPr>
        <w:pStyle w:val="BodyText"/>
        <w:spacing w:before="9"/>
        <w:rPr>
          <w:b/>
        </w:rPr>
      </w:pPr>
    </w:p>
    <w:p w:rsidR="00887C6C" w:rsidRDefault="00887C6C" w:rsidP="00887C6C">
      <w:pPr>
        <w:pStyle w:val="BodyText"/>
        <w:spacing w:before="9"/>
        <w:rPr>
          <w:b/>
        </w:rPr>
      </w:pPr>
      <w:r>
        <w:rPr>
          <w:b/>
        </w:rPr>
        <w:t>____________________________</w:t>
      </w:r>
    </w:p>
    <w:p w:rsidR="00887C6C" w:rsidRDefault="00887C6C" w:rsidP="00887C6C">
      <w:pPr>
        <w:pStyle w:val="BodyText"/>
        <w:spacing w:before="9"/>
        <w:rPr>
          <w:b/>
        </w:rPr>
      </w:pPr>
      <w:r>
        <w:rPr>
          <w:b/>
        </w:rPr>
        <w:t xml:space="preserve">                                           </w:t>
      </w:r>
    </w:p>
    <w:p w:rsidR="00887C6C" w:rsidRDefault="00887C6C" w:rsidP="00887C6C">
      <w:pPr>
        <w:pStyle w:val="Default"/>
        <w:jc w:val="both"/>
        <w:rPr>
          <w:sz w:val="20"/>
          <w:szCs w:val="20"/>
        </w:rPr>
      </w:pPr>
      <w:r w:rsidRPr="00887C6C">
        <w:rPr>
          <w:sz w:val="20"/>
          <w:szCs w:val="13"/>
          <w:vertAlign w:val="superscript"/>
        </w:rPr>
        <w:t>1</w:t>
      </w:r>
      <w:r>
        <w:rPr>
          <w:sz w:val="20"/>
          <w:szCs w:val="13"/>
        </w:rPr>
        <w:t xml:space="preserve"> P</w:t>
      </w:r>
      <w:r>
        <w:rPr>
          <w:sz w:val="20"/>
          <w:szCs w:val="20"/>
        </w:rPr>
        <w:t>lease answer this question only if section 29</w:t>
      </w:r>
      <w:proofErr w:type="gramStart"/>
      <w:r>
        <w:rPr>
          <w:sz w:val="20"/>
          <w:szCs w:val="20"/>
        </w:rPr>
        <w:t>C(</w:t>
      </w:r>
      <w:proofErr w:type="gramEnd"/>
      <w:r>
        <w:rPr>
          <w:sz w:val="20"/>
          <w:szCs w:val="20"/>
        </w:rPr>
        <w:t xml:space="preserve">2) of the Supreme Court of Judicature Act (Cap 322) (“SCJA”) as in force on 2 January 2021 applies to the appeal. Please see the transitional provisions in section 31 of the Supreme Court of Judicature (Amendment) Act 2019. </w:t>
      </w:r>
    </w:p>
    <w:p w:rsidR="00887C6C" w:rsidRDefault="00887C6C" w:rsidP="00887C6C">
      <w:pPr>
        <w:pStyle w:val="Default"/>
        <w:jc w:val="both"/>
        <w:rPr>
          <w:sz w:val="20"/>
          <w:szCs w:val="20"/>
        </w:rPr>
      </w:pPr>
      <w:r w:rsidRPr="00887C6C">
        <w:rPr>
          <w:sz w:val="20"/>
          <w:szCs w:val="13"/>
          <w:vertAlign w:val="superscript"/>
        </w:rPr>
        <w:t>2</w:t>
      </w:r>
      <w:r>
        <w:rPr>
          <w:sz w:val="13"/>
          <w:szCs w:val="13"/>
        </w:rPr>
        <w:t xml:space="preserve"> </w:t>
      </w:r>
      <w:r>
        <w:rPr>
          <w:sz w:val="20"/>
          <w:szCs w:val="20"/>
        </w:rPr>
        <w:t>See Order 56A, Rule 12(2)(</w:t>
      </w:r>
      <w:r>
        <w:rPr>
          <w:i/>
          <w:iCs/>
          <w:sz w:val="20"/>
          <w:szCs w:val="20"/>
        </w:rPr>
        <w:t>c</w:t>
      </w:r>
      <w:r>
        <w:rPr>
          <w:sz w:val="20"/>
          <w:szCs w:val="20"/>
        </w:rPr>
        <w:t xml:space="preserve">) and Order 57, Rule 10A(1)(b) of the Rules of Court. </w:t>
      </w:r>
    </w:p>
    <w:p w:rsidR="00887C6C" w:rsidRDefault="00887C6C" w:rsidP="00887C6C">
      <w:pPr>
        <w:pStyle w:val="BodyText"/>
        <w:spacing w:before="9"/>
        <w:rPr>
          <w:b/>
        </w:rPr>
      </w:pPr>
      <w:r w:rsidRPr="00887C6C">
        <w:rPr>
          <w:b/>
        </w:rPr>
        <w:t xml:space="preserve">[For appeals to the Appellate Division] Application for Transfer to the Court of Appeal </w:t>
      </w:r>
    </w:p>
    <w:p w:rsidR="00887C6C" w:rsidRDefault="00887C6C" w:rsidP="00887C6C">
      <w:pPr>
        <w:pStyle w:val="BodyText"/>
        <w:spacing w:before="9"/>
        <w:rPr>
          <w:b/>
        </w:rPr>
      </w:pPr>
    </w:p>
    <w:p w:rsidR="00887C6C" w:rsidRPr="00887C6C" w:rsidRDefault="00887C6C" w:rsidP="00887C6C">
      <w:pPr>
        <w:pStyle w:val="BodyText"/>
        <w:numPr>
          <w:ilvl w:val="0"/>
          <w:numId w:val="2"/>
        </w:numPr>
        <w:spacing w:before="9"/>
      </w:pPr>
      <w:r w:rsidRPr="00887C6C">
        <w:t>Please state if you intend to apply to transfer the appeal to the Court of Appeal.</w:t>
      </w:r>
      <w:r w:rsidRPr="00887C6C">
        <w:rPr>
          <w:vertAlign w:val="superscript"/>
        </w:rPr>
        <w:t>3</w:t>
      </w:r>
    </w:p>
    <w:p w:rsidR="00887C6C" w:rsidRDefault="00887C6C" w:rsidP="00887C6C">
      <w:pPr>
        <w:pStyle w:val="BodyText"/>
        <w:spacing w:before="9"/>
        <w:jc w:val="right"/>
      </w:pPr>
    </w:p>
    <w:p w:rsidR="00887C6C" w:rsidRDefault="00887C6C" w:rsidP="00887C6C">
      <w:pPr>
        <w:pStyle w:val="BodyText"/>
        <w:spacing w:before="9"/>
        <w:jc w:val="right"/>
      </w:pPr>
      <w:r w:rsidRPr="00887C6C">
        <w:t>Yes</w:t>
      </w:r>
      <w:r>
        <w:t xml:space="preserve">   </w:t>
      </w:r>
      <w:r w:rsidRPr="00887C6C">
        <w:t>No</w:t>
      </w:r>
    </w:p>
    <w:p w:rsidR="00887C6C" w:rsidRDefault="00887C6C" w:rsidP="00887C6C">
      <w:pPr>
        <w:pStyle w:val="BodyText"/>
        <w:spacing w:before="9"/>
        <w:jc w:val="right"/>
      </w:pPr>
    </w:p>
    <w:p w:rsidR="00C675A8" w:rsidRPr="00887C6C" w:rsidRDefault="00C675A8" w:rsidP="00887C6C">
      <w:pPr>
        <w:pStyle w:val="BodyText"/>
        <w:spacing w:before="9"/>
        <w:jc w:val="right"/>
      </w:pPr>
    </w:p>
    <w:p w:rsidR="00887C6C" w:rsidRPr="00887C6C" w:rsidRDefault="00887C6C" w:rsidP="00887C6C">
      <w:pPr>
        <w:pStyle w:val="BodyText"/>
        <w:spacing w:before="9"/>
      </w:pPr>
      <w:r>
        <w:t xml:space="preserve">      </w:t>
      </w:r>
      <w:r w:rsidRPr="00887C6C">
        <w:t>If so, please state whether all parties to the appeal consent to the application.</w:t>
      </w:r>
    </w:p>
    <w:p w:rsidR="00887C6C" w:rsidRDefault="00887C6C" w:rsidP="00887C6C">
      <w:pPr>
        <w:pStyle w:val="BodyText"/>
        <w:spacing w:before="9"/>
      </w:pPr>
    </w:p>
    <w:p w:rsidR="00887C6C" w:rsidRPr="00887C6C" w:rsidRDefault="00887C6C" w:rsidP="00887C6C">
      <w:pPr>
        <w:pStyle w:val="BodyText"/>
        <w:spacing w:before="9"/>
        <w:jc w:val="right"/>
      </w:pPr>
      <w:r w:rsidRPr="00887C6C">
        <w:t>Yes</w:t>
      </w:r>
      <w:r>
        <w:t xml:space="preserve">   </w:t>
      </w:r>
      <w:r w:rsidRPr="00887C6C">
        <w:t>No</w:t>
      </w:r>
    </w:p>
    <w:p w:rsidR="00887C6C" w:rsidRDefault="00887C6C" w:rsidP="00887C6C">
      <w:pPr>
        <w:pStyle w:val="BodyText"/>
        <w:spacing w:before="9"/>
        <w:rPr>
          <w:b/>
        </w:rPr>
      </w:pPr>
    </w:p>
    <w:p w:rsidR="00C675A8" w:rsidRDefault="00C675A8" w:rsidP="00887C6C">
      <w:pPr>
        <w:pStyle w:val="BodyText"/>
        <w:spacing w:before="9"/>
        <w:rPr>
          <w:b/>
        </w:rPr>
      </w:pPr>
    </w:p>
    <w:p w:rsidR="00887C6C" w:rsidRDefault="00887C6C" w:rsidP="00887C6C">
      <w:pPr>
        <w:pStyle w:val="Default"/>
        <w:rPr>
          <w:b/>
          <w:bCs/>
        </w:rPr>
      </w:pPr>
      <w:r>
        <w:rPr>
          <w:b/>
          <w:bCs/>
        </w:rPr>
        <w:t xml:space="preserve">[For appeals to the Appellate Division] Composition of the Appellate Division </w:t>
      </w:r>
    </w:p>
    <w:p w:rsidR="00887C6C" w:rsidRDefault="00887C6C" w:rsidP="00887C6C">
      <w:pPr>
        <w:pStyle w:val="Default"/>
      </w:pPr>
    </w:p>
    <w:p w:rsidR="00887C6C" w:rsidRDefault="00887C6C" w:rsidP="00887C6C">
      <w:pPr>
        <w:pStyle w:val="Default"/>
        <w:numPr>
          <w:ilvl w:val="0"/>
          <w:numId w:val="2"/>
        </w:numPr>
        <w:jc w:val="both"/>
      </w:pPr>
      <w:r>
        <w:t>If the appeal is scheduled to be heard by the Appellate Division consisting of 3 Judges, please state whether you consent for the appeal to be decided by the Appellate Division consisting of 2 Judges.</w:t>
      </w:r>
      <w:r w:rsidRPr="00887C6C">
        <w:rPr>
          <w:szCs w:val="16"/>
          <w:vertAlign w:val="superscript"/>
        </w:rPr>
        <w:t>4</w:t>
      </w:r>
    </w:p>
    <w:p w:rsidR="00887C6C" w:rsidRDefault="00887C6C" w:rsidP="00887C6C">
      <w:pPr>
        <w:pStyle w:val="Default"/>
        <w:jc w:val="both"/>
      </w:pPr>
    </w:p>
    <w:p w:rsidR="00887C6C" w:rsidRDefault="00887C6C" w:rsidP="00887C6C">
      <w:pPr>
        <w:pStyle w:val="Default"/>
        <w:jc w:val="right"/>
      </w:pPr>
      <w:r>
        <w:t xml:space="preserve">Yes   </w:t>
      </w:r>
      <w:r>
        <w:t>No</w:t>
      </w:r>
    </w:p>
    <w:p w:rsidR="00887C6C" w:rsidRPr="00887C6C" w:rsidRDefault="00887C6C" w:rsidP="00887C6C">
      <w:pPr>
        <w:pStyle w:val="Default"/>
        <w:jc w:val="right"/>
      </w:pPr>
      <w:r>
        <w:t>Not Applicable</w:t>
      </w:r>
    </w:p>
    <w:p w:rsidR="00887C6C" w:rsidRDefault="00887C6C" w:rsidP="00887C6C">
      <w:pPr>
        <w:pStyle w:val="BodyText"/>
        <w:spacing w:before="9"/>
        <w:rPr>
          <w:b/>
        </w:rPr>
      </w:pPr>
    </w:p>
    <w:p w:rsidR="00C675A8" w:rsidRDefault="00C675A8" w:rsidP="00887C6C">
      <w:pPr>
        <w:pStyle w:val="BodyText"/>
        <w:spacing w:before="9"/>
        <w:rPr>
          <w:b/>
        </w:rPr>
      </w:pPr>
    </w:p>
    <w:p w:rsidR="00C675A8" w:rsidRDefault="00C675A8" w:rsidP="00C675A8">
      <w:pPr>
        <w:pStyle w:val="BodyText"/>
        <w:spacing w:before="9"/>
        <w:rPr>
          <w:b/>
        </w:rPr>
      </w:pPr>
      <w:r w:rsidRPr="00C675A8">
        <w:rPr>
          <w:b/>
        </w:rPr>
        <w:t>Whether party consents to the court deciding without hearing oral arguments</w:t>
      </w:r>
    </w:p>
    <w:p w:rsidR="00C675A8" w:rsidRPr="00C675A8" w:rsidRDefault="00C675A8" w:rsidP="00C675A8">
      <w:pPr>
        <w:pStyle w:val="BodyText"/>
        <w:spacing w:before="9"/>
        <w:rPr>
          <w:b/>
        </w:rPr>
      </w:pPr>
    </w:p>
    <w:p w:rsidR="00887C6C" w:rsidRPr="00C675A8" w:rsidRDefault="00C675A8" w:rsidP="00C675A8">
      <w:pPr>
        <w:pStyle w:val="BodyText"/>
        <w:numPr>
          <w:ilvl w:val="0"/>
          <w:numId w:val="2"/>
        </w:numPr>
        <w:spacing w:before="9"/>
      </w:pPr>
      <w:r w:rsidRPr="00C675A8">
        <w:t>Please state whether you consent to the appeal being decided without hearing oralarguments.</w:t>
      </w:r>
      <w:r w:rsidRPr="00C675A8">
        <w:rPr>
          <w:vertAlign w:val="superscript"/>
        </w:rPr>
        <w:t>5</w:t>
      </w:r>
    </w:p>
    <w:p w:rsidR="00887C6C" w:rsidRDefault="00887C6C" w:rsidP="00887C6C">
      <w:pPr>
        <w:pStyle w:val="BodyText"/>
        <w:spacing w:before="9"/>
        <w:rPr>
          <w:b/>
        </w:rPr>
      </w:pPr>
    </w:p>
    <w:p w:rsidR="00C675A8" w:rsidRDefault="00C675A8" w:rsidP="00C675A8">
      <w:pPr>
        <w:pStyle w:val="Default"/>
        <w:jc w:val="right"/>
      </w:pPr>
      <w:r>
        <w:t xml:space="preserve">Yes   </w:t>
      </w:r>
      <w:r>
        <w:t>No</w:t>
      </w:r>
    </w:p>
    <w:p w:rsidR="00C675A8" w:rsidRPr="00887C6C" w:rsidRDefault="00C675A8" w:rsidP="00C675A8">
      <w:pPr>
        <w:pStyle w:val="Default"/>
        <w:jc w:val="right"/>
      </w:pPr>
      <w:r>
        <w:t>Not Applicable</w:t>
      </w:r>
    </w:p>
    <w:p w:rsidR="00887C6C" w:rsidRDefault="00887C6C" w:rsidP="00887C6C">
      <w:pPr>
        <w:pStyle w:val="BodyText"/>
        <w:spacing w:before="9"/>
        <w:rPr>
          <w:b/>
        </w:rPr>
      </w:pPr>
    </w:p>
    <w:p w:rsidR="00C675A8" w:rsidRDefault="00C675A8" w:rsidP="00887C6C">
      <w:pPr>
        <w:pStyle w:val="BodyText"/>
        <w:spacing w:before="9"/>
        <w:rPr>
          <w:b/>
        </w:rPr>
      </w:pPr>
    </w:p>
    <w:p w:rsidR="00C675A8" w:rsidRDefault="00C675A8" w:rsidP="00C675A8">
      <w:pPr>
        <w:pStyle w:val="Default"/>
        <w:rPr>
          <w:b/>
          <w:bCs/>
        </w:rPr>
      </w:pPr>
      <w:r>
        <w:rPr>
          <w:b/>
          <w:bCs/>
        </w:rPr>
        <w:t xml:space="preserve">Related Matters </w:t>
      </w:r>
    </w:p>
    <w:p w:rsidR="00C675A8" w:rsidRDefault="00C675A8" w:rsidP="00C675A8">
      <w:pPr>
        <w:pStyle w:val="Default"/>
      </w:pPr>
    </w:p>
    <w:p w:rsidR="00C675A8" w:rsidRDefault="00C675A8" w:rsidP="00C675A8">
      <w:pPr>
        <w:pStyle w:val="Default"/>
        <w:numPr>
          <w:ilvl w:val="0"/>
          <w:numId w:val="2"/>
        </w:numPr>
        <w:jc w:val="both"/>
      </w:pPr>
      <w:r>
        <w:t>Please state any proceedings (pending or concluded) in the Court of Appeal, the Appellate Division or the General Division which are related to the appeal.</w:t>
      </w: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Default"/>
      </w:pPr>
    </w:p>
    <w:p w:rsidR="00C675A8" w:rsidRDefault="00C675A8" w:rsidP="00C675A8">
      <w:pPr>
        <w:pStyle w:val="BodyText"/>
        <w:spacing w:before="9"/>
        <w:rPr>
          <w:b/>
        </w:rPr>
      </w:pPr>
      <w:r>
        <w:rPr>
          <w:b/>
        </w:rPr>
        <w:t>____________________________</w:t>
      </w:r>
    </w:p>
    <w:p w:rsidR="00C675A8" w:rsidRDefault="00C675A8" w:rsidP="00C675A8">
      <w:pPr>
        <w:pStyle w:val="Default"/>
      </w:pPr>
    </w:p>
    <w:p w:rsidR="00C675A8" w:rsidRPr="00C675A8" w:rsidRDefault="00C675A8" w:rsidP="00C675A8">
      <w:pPr>
        <w:pStyle w:val="Default"/>
        <w:jc w:val="both"/>
        <w:rPr>
          <w:sz w:val="20"/>
        </w:rPr>
      </w:pPr>
      <w:r w:rsidRPr="00C675A8">
        <w:rPr>
          <w:sz w:val="20"/>
          <w:vertAlign w:val="superscript"/>
        </w:rPr>
        <w:t>3</w:t>
      </w:r>
      <w:r w:rsidRPr="00C675A8">
        <w:rPr>
          <w:sz w:val="20"/>
        </w:rPr>
        <w:t xml:space="preserve"> See section 29D(2)(</w:t>
      </w:r>
      <w:r w:rsidRPr="00C675A8">
        <w:rPr>
          <w:i/>
          <w:iCs/>
          <w:sz w:val="20"/>
        </w:rPr>
        <w:t>c</w:t>
      </w:r>
      <w:r w:rsidRPr="00C675A8">
        <w:rPr>
          <w:sz w:val="20"/>
        </w:rPr>
        <w:t xml:space="preserve">)(ii) of the SCJA read with Order 56A, Rule 12(1) of the Rules of Court. </w:t>
      </w:r>
    </w:p>
    <w:p w:rsidR="00C675A8" w:rsidRPr="00C675A8" w:rsidRDefault="00C675A8" w:rsidP="00C675A8">
      <w:pPr>
        <w:pStyle w:val="Default"/>
        <w:jc w:val="both"/>
        <w:rPr>
          <w:sz w:val="20"/>
        </w:rPr>
      </w:pPr>
      <w:r w:rsidRPr="00C675A8">
        <w:rPr>
          <w:sz w:val="20"/>
          <w:vertAlign w:val="superscript"/>
        </w:rPr>
        <w:t>4</w:t>
      </w:r>
      <w:r w:rsidRPr="00C675A8">
        <w:rPr>
          <w:sz w:val="20"/>
        </w:rPr>
        <w:t xml:space="preserve"> See section 36(1) read with paragraph 2(</w:t>
      </w:r>
      <w:r w:rsidRPr="00C675A8">
        <w:rPr>
          <w:i/>
          <w:iCs/>
          <w:sz w:val="20"/>
        </w:rPr>
        <w:t>k</w:t>
      </w:r>
      <w:r w:rsidRPr="00C675A8">
        <w:rPr>
          <w:sz w:val="20"/>
        </w:rPr>
        <w:t xml:space="preserve">) of the Seventh Schedule to the SCJA. </w:t>
      </w:r>
    </w:p>
    <w:p w:rsidR="00C675A8" w:rsidRPr="00C675A8" w:rsidRDefault="00C675A8" w:rsidP="00C675A8">
      <w:pPr>
        <w:pStyle w:val="Default"/>
        <w:jc w:val="both"/>
        <w:rPr>
          <w:sz w:val="20"/>
        </w:rPr>
      </w:pPr>
      <w:r w:rsidRPr="00C675A8">
        <w:rPr>
          <w:sz w:val="20"/>
          <w:vertAlign w:val="superscript"/>
        </w:rPr>
        <w:t>5</w:t>
      </w:r>
      <w:r w:rsidRPr="00C675A8">
        <w:rPr>
          <w:sz w:val="20"/>
        </w:rPr>
        <w:t xml:space="preserve"> See section 55(1)(</w:t>
      </w:r>
      <w:r w:rsidRPr="00C675A8">
        <w:rPr>
          <w:i/>
          <w:iCs/>
          <w:sz w:val="20"/>
        </w:rPr>
        <w:t>b</w:t>
      </w:r>
      <w:r w:rsidRPr="00C675A8">
        <w:rPr>
          <w:sz w:val="20"/>
        </w:rPr>
        <w:t>) read with paragraph 2 of the Eighth Schedule to the SCJA (for appeals to the Court of Appeal) / section 37(1)(</w:t>
      </w:r>
      <w:r w:rsidRPr="00C675A8">
        <w:rPr>
          <w:i/>
          <w:iCs/>
          <w:sz w:val="20"/>
        </w:rPr>
        <w:t>b</w:t>
      </w:r>
      <w:r w:rsidRPr="00C675A8">
        <w:rPr>
          <w:sz w:val="20"/>
        </w:rPr>
        <w:t xml:space="preserve">) read with paragraph 1 of the Eighth Schedule to the SCJA (for appeals to the Appellate Division). </w:t>
      </w: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681178" w:rsidRDefault="00681178" w:rsidP="00681178">
      <w:pPr>
        <w:pStyle w:val="BodyText"/>
        <w:pBdr>
          <w:top w:val="single" w:sz="4" w:space="1" w:color="auto"/>
          <w:left w:val="single" w:sz="4" w:space="4" w:color="auto"/>
          <w:bottom w:val="single" w:sz="4" w:space="1" w:color="auto"/>
          <w:right w:val="single" w:sz="4" w:space="4" w:color="auto"/>
        </w:pBdr>
        <w:spacing w:before="9"/>
        <w:rPr>
          <w:b/>
        </w:rPr>
      </w:pPr>
    </w:p>
    <w:p w:rsidR="00C675A8" w:rsidRDefault="00C675A8" w:rsidP="00887C6C">
      <w:pPr>
        <w:pStyle w:val="BodyText"/>
        <w:spacing w:before="9"/>
        <w:rPr>
          <w:b/>
        </w:rPr>
      </w:pPr>
    </w:p>
    <w:p w:rsidR="00681178" w:rsidRDefault="00681178" w:rsidP="00681178">
      <w:pPr>
        <w:pStyle w:val="BodyText"/>
        <w:spacing w:before="9"/>
        <w:rPr>
          <w:b/>
        </w:rPr>
      </w:pPr>
      <w:r w:rsidRPr="00681178">
        <w:rPr>
          <w:b/>
        </w:rPr>
        <w:t>Unavailability Dates</w:t>
      </w:r>
    </w:p>
    <w:p w:rsidR="00681178" w:rsidRPr="00681178" w:rsidRDefault="00681178" w:rsidP="00681178">
      <w:pPr>
        <w:pStyle w:val="BodyText"/>
        <w:spacing w:before="9"/>
        <w:rPr>
          <w:b/>
        </w:rPr>
      </w:pPr>
    </w:p>
    <w:p w:rsidR="00681178" w:rsidRDefault="00681178" w:rsidP="00681178">
      <w:pPr>
        <w:pStyle w:val="BodyText"/>
        <w:numPr>
          <w:ilvl w:val="0"/>
          <w:numId w:val="2"/>
        </w:numPr>
        <w:spacing w:before="9"/>
      </w:pPr>
      <w:r w:rsidRPr="00681178">
        <w:t>Are there any days, within the sitting for which the appeal is fixed, that you will not</w:t>
      </w:r>
      <w:r>
        <w:t xml:space="preserve"> </w:t>
      </w:r>
      <w:r w:rsidRPr="00681178">
        <w:t>be able to attend court for the appeal hearing?</w:t>
      </w:r>
    </w:p>
    <w:p w:rsidR="00681178" w:rsidRPr="00681178" w:rsidRDefault="00681178" w:rsidP="00681178">
      <w:pPr>
        <w:pStyle w:val="BodyText"/>
        <w:spacing w:before="9"/>
        <w:ind w:left="360"/>
      </w:pPr>
    </w:p>
    <w:p w:rsidR="00681178" w:rsidRDefault="00681178" w:rsidP="00681178">
      <w:pPr>
        <w:pStyle w:val="BodyText"/>
        <w:spacing w:before="9"/>
        <w:jc w:val="right"/>
      </w:pPr>
      <w:r w:rsidRPr="00681178">
        <w:t>Yes</w:t>
      </w:r>
      <w:r>
        <w:t xml:space="preserve">   </w:t>
      </w:r>
      <w:r w:rsidRPr="00681178">
        <w:t>No</w:t>
      </w:r>
    </w:p>
    <w:p w:rsidR="00681178" w:rsidRDefault="00681178" w:rsidP="00681178">
      <w:pPr>
        <w:pStyle w:val="BodyText"/>
        <w:spacing w:before="9"/>
        <w:jc w:val="right"/>
      </w:pPr>
    </w:p>
    <w:p w:rsidR="00681178" w:rsidRPr="00681178" w:rsidRDefault="00681178" w:rsidP="00681178">
      <w:pPr>
        <w:pStyle w:val="BodyText"/>
        <w:spacing w:before="9"/>
        <w:jc w:val="right"/>
      </w:pPr>
    </w:p>
    <w:p w:rsidR="00C675A8" w:rsidRDefault="00681178" w:rsidP="00681178">
      <w:pPr>
        <w:pStyle w:val="BodyText"/>
        <w:numPr>
          <w:ilvl w:val="0"/>
          <w:numId w:val="2"/>
        </w:numPr>
        <w:spacing w:before="9"/>
      </w:pPr>
      <w:r w:rsidRPr="00681178">
        <w:t>If “Yes”, please provide details.</w:t>
      </w:r>
    </w:p>
    <w:p w:rsidR="00225D06" w:rsidRDefault="00225D06" w:rsidP="00C47D1D">
      <w:pPr>
        <w:pStyle w:val="BodyText"/>
        <w:tabs>
          <w:tab w:val="left" w:pos="5904"/>
        </w:tabs>
        <w:spacing w:before="90" w:after="3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23"/>
      </w:tblGrid>
      <w:tr w:rsidR="00436018" w:rsidTr="00E74810">
        <w:trPr>
          <w:trHeight w:val="285"/>
        </w:trPr>
        <w:tc>
          <w:tcPr>
            <w:tcW w:w="4623" w:type="dxa"/>
          </w:tcPr>
          <w:p w:rsidR="00436018" w:rsidRPr="00E74810" w:rsidRDefault="00D61CFB" w:rsidP="00E74810">
            <w:pPr>
              <w:pStyle w:val="TableParagraph"/>
              <w:spacing w:before="8"/>
              <w:ind w:left="1319"/>
              <w:rPr>
                <w:sz w:val="24"/>
              </w:rPr>
            </w:pPr>
            <w:r w:rsidRPr="00E74810">
              <w:rPr>
                <w:sz w:val="24"/>
              </w:rPr>
              <w:t>Date(s) unavailable</w:t>
            </w:r>
          </w:p>
        </w:tc>
        <w:tc>
          <w:tcPr>
            <w:tcW w:w="4623" w:type="dxa"/>
          </w:tcPr>
          <w:p w:rsidR="00436018" w:rsidRPr="00E74810" w:rsidRDefault="00D61CFB" w:rsidP="00E74810">
            <w:pPr>
              <w:pStyle w:val="TableParagraph"/>
              <w:spacing w:before="8"/>
              <w:ind w:left="1786" w:right="1786"/>
              <w:rPr>
                <w:sz w:val="24"/>
              </w:rPr>
            </w:pPr>
            <w:r w:rsidRPr="00E74810">
              <w:rPr>
                <w:sz w:val="24"/>
              </w:rPr>
              <w:t>Reason(s)</w:t>
            </w:r>
          </w:p>
        </w:tc>
      </w:tr>
      <w:tr w:rsidR="00436018" w:rsidTr="00E74810">
        <w:trPr>
          <w:trHeight w:val="3433"/>
        </w:trPr>
        <w:tc>
          <w:tcPr>
            <w:tcW w:w="4623" w:type="dxa"/>
          </w:tcPr>
          <w:p w:rsidR="00436018" w:rsidRDefault="00436018">
            <w:pPr>
              <w:pStyle w:val="TableParagraph"/>
              <w:ind w:left="0"/>
            </w:pPr>
          </w:p>
        </w:tc>
        <w:tc>
          <w:tcPr>
            <w:tcW w:w="4623" w:type="dxa"/>
          </w:tcPr>
          <w:p w:rsidR="00436018" w:rsidRDefault="00436018">
            <w:pPr>
              <w:pStyle w:val="TableParagraph"/>
              <w:ind w:left="0"/>
            </w:pPr>
          </w:p>
        </w:tc>
      </w:tr>
    </w:tbl>
    <w:p w:rsidR="00436018" w:rsidRDefault="00436018">
      <w:pPr>
        <w:pStyle w:val="BodyText"/>
        <w:rPr>
          <w:sz w:val="26"/>
        </w:rPr>
      </w:pPr>
    </w:p>
    <w:p w:rsidR="00436018" w:rsidRDefault="00436018">
      <w:pPr>
        <w:pStyle w:val="BodyText"/>
        <w:spacing w:before="5"/>
        <w:rPr>
          <w:sz w:val="20"/>
        </w:rPr>
      </w:pPr>
    </w:p>
    <w:p w:rsidR="00436018" w:rsidRDefault="00D61CFB" w:rsidP="00681178">
      <w:pPr>
        <w:pStyle w:val="Heading1"/>
        <w:ind w:left="0"/>
      </w:pPr>
      <w:r>
        <w:t>Applications</w:t>
      </w:r>
    </w:p>
    <w:p w:rsidR="00436018" w:rsidRDefault="00436018">
      <w:pPr>
        <w:pStyle w:val="BodyText"/>
        <w:spacing w:before="10"/>
        <w:rPr>
          <w:b/>
          <w:sz w:val="21"/>
        </w:rPr>
      </w:pPr>
    </w:p>
    <w:p w:rsidR="00681178" w:rsidRDefault="00D61CFB" w:rsidP="00681178">
      <w:pPr>
        <w:pStyle w:val="BodyText"/>
        <w:numPr>
          <w:ilvl w:val="0"/>
          <w:numId w:val="2"/>
        </w:numPr>
        <w:spacing w:before="1" w:line="355" w:lineRule="auto"/>
      </w:pPr>
      <w:r>
        <w:t xml:space="preserve">Do you have any applications </w:t>
      </w:r>
      <w:r w:rsidR="00681178">
        <w:t>(</w:t>
      </w:r>
      <w:proofErr w:type="spellStart"/>
      <w:proofErr w:type="gramStart"/>
      <w:r w:rsidR="00681178">
        <w:t>ie</w:t>
      </w:r>
      <w:proofErr w:type="spellEnd"/>
      <w:proofErr w:type="gramEnd"/>
      <w:r w:rsidR="00681178">
        <w:t xml:space="preserve"> Court of Appeal or Appellate Division summonses) to make in the appeal?</w:t>
      </w:r>
    </w:p>
    <w:p w:rsidR="00681178" w:rsidRDefault="00681178" w:rsidP="00681178">
      <w:pPr>
        <w:pStyle w:val="BodyText"/>
        <w:spacing w:before="9"/>
        <w:jc w:val="right"/>
      </w:pPr>
      <w:r w:rsidRPr="00681178">
        <w:t>Yes</w:t>
      </w:r>
      <w:r>
        <w:t xml:space="preserve">   </w:t>
      </w:r>
      <w:r w:rsidRPr="00681178">
        <w:t>No</w:t>
      </w:r>
    </w:p>
    <w:p w:rsidR="00681178" w:rsidRPr="00681178" w:rsidRDefault="00681178" w:rsidP="00681178">
      <w:pPr>
        <w:pStyle w:val="BodyText"/>
        <w:spacing w:before="1" w:line="355" w:lineRule="auto"/>
      </w:pPr>
    </w:p>
    <w:p w:rsidR="00436018" w:rsidRDefault="00D61CFB" w:rsidP="00681178">
      <w:pPr>
        <w:pStyle w:val="BodyText"/>
        <w:numPr>
          <w:ilvl w:val="0"/>
          <w:numId w:val="2"/>
        </w:numPr>
        <w:spacing w:before="1" w:after="5" w:line="259" w:lineRule="auto"/>
        <w:ind w:right="161"/>
        <w:jc w:val="both"/>
      </w:pPr>
      <w:r>
        <w:t xml:space="preserve">If “Yes”, </w:t>
      </w:r>
      <w:r w:rsidR="00681178">
        <w:t xml:space="preserve">please </w:t>
      </w:r>
      <w:r>
        <w:t>state the nature of the application (</w:t>
      </w:r>
      <w:proofErr w:type="spellStart"/>
      <w:proofErr w:type="gramStart"/>
      <w:r w:rsidRPr="00C47D1D">
        <w:rPr>
          <w:i/>
        </w:rPr>
        <w:t>eg</w:t>
      </w:r>
      <w:proofErr w:type="spellEnd"/>
      <w:proofErr w:type="gramEnd"/>
      <w:r>
        <w:t xml:space="preserve"> application to strike out the appeal, application to adduce </w:t>
      </w:r>
      <w:r w:rsidR="00681178">
        <w:t>fresh</w:t>
      </w:r>
      <w:r>
        <w:t xml:space="preserve"> evidence, application for judge(s) to be recused, </w:t>
      </w:r>
      <w:proofErr w:type="spellStart"/>
      <w:r w:rsidRPr="00C47D1D">
        <w:rPr>
          <w:i/>
        </w:rPr>
        <w:t>etc</w:t>
      </w:r>
      <w:proofErr w:type="spellEnd"/>
      <w:r>
        <w:t>).</w:t>
      </w:r>
    </w:p>
    <w:p w:rsidR="00681178" w:rsidRDefault="00681178" w:rsidP="00681178">
      <w:pPr>
        <w:pStyle w:val="BodyText"/>
        <w:spacing w:before="1" w:after="5" w:line="259" w:lineRule="auto"/>
        <w:ind w:right="16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4586"/>
        <w:gridCol w:w="3083"/>
      </w:tblGrid>
      <w:tr w:rsidR="00436018" w:rsidTr="00681178">
        <w:trPr>
          <w:trHeight w:val="518"/>
        </w:trPr>
        <w:tc>
          <w:tcPr>
            <w:tcW w:w="1579" w:type="dxa"/>
          </w:tcPr>
          <w:p w:rsidR="00436018" w:rsidRPr="00681178" w:rsidRDefault="00D61CFB" w:rsidP="00681178">
            <w:pPr>
              <w:pStyle w:val="TableParagraph"/>
              <w:spacing w:before="6"/>
              <w:ind w:left="0"/>
              <w:jc w:val="center"/>
              <w:rPr>
                <w:b/>
                <w:sz w:val="24"/>
              </w:rPr>
            </w:pPr>
            <w:r w:rsidRPr="00681178">
              <w:rPr>
                <w:b/>
                <w:sz w:val="24"/>
              </w:rPr>
              <w:t>Application</w:t>
            </w:r>
          </w:p>
        </w:tc>
        <w:tc>
          <w:tcPr>
            <w:tcW w:w="4586" w:type="dxa"/>
          </w:tcPr>
          <w:p w:rsidR="00436018" w:rsidRPr="00681178" w:rsidRDefault="00D61CFB" w:rsidP="00681178">
            <w:pPr>
              <w:pStyle w:val="TableParagraph"/>
              <w:spacing w:before="6" w:line="360" w:lineRule="auto"/>
              <w:ind w:left="957" w:right="484" w:hanging="413"/>
              <w:jc w:val="center"/>
              <w:rPr>
                <w:b/>
                <w:sz w:val="24"/>
              </w:rPr>
            </w:pPr>
            <w:r w:rsidRPr="00681178">
              <w:rPr>
                <w:b/>
                <w:sz w:val="24"/>
              </w:rPr>
              <w:t>Brief Description of</w:t>
            </w:r>
            <w:r w:rsidR="00681178">
              <w:rPr>
                <w:b/>
                <w:sz w:val="24"/>
              </w:rPr>
              <w:t xml:space="preserve"> </w:t>
            </w:r>
            <w:r w:rsidRPr="00681178">
              <w:rPr>
                <w:b/>
                <w:sz w:val="24"/>
              </w:rPr>
              <w:t>Application</w:t>
            </w:r>
          </w:p>
        </w:tc>
        <w:tc>
          <w:tcPr>
            <w:tcW w:w="3083" w:type="dxa"/>
          </w:tcPr>
          <w:p w:rsidR="00436018" w:rsidRPr="00681178" w:rsidRDefault="00D61CFB" w:rsidP="00681178">
            <w:pPr>
              <w:pStyle w:val="TableParagraph"/>
              <w:spacing w:before="6"/>
              <w:ind w:left="109"/>
              <w:jc w:val="center"/>
              <w:rPr>
                <w:b/>
                <w:sz w:val="24"/>
              </w:rPr>
            </w:pPr>
            <w:r w:rsidRPr="00681178">
              <w:rPr>
                <w:b/>
                <w:sz w:val="24"/>
              </w:rPr>
              <w:t>Number of</w:t>
            </w:r>
            <w:r w:rsidR="00E74810" w:rsidRPr="00681178">
              <w:rPr>
                <w:b/>
                <w:sz w:val="24"/>
              </w:rPr>
              <w:t xml:space="preserve"> </w:t>
            </w:r>
            <w:r w:rsidRPr="00681178">
              <w:rPr>
                <w:b/>
                <w:sz w:val="24"/>
              </w:rPr>
              <w:t>Judges require</w:t>
            </w:r>
            <w:r w:rsidR="00681178" w:rsidRPr="00681178">
              <w:rPr>
                <w:b/>
                <w:sz w:val="24"/>
              </w:rPr>
              <w:t>d</w:t>
            </w:r>
          </w:p>
        </w:tc>
      </w:tr>
      <w:tr w:rsidR="00436018" w:rsidTr="00681178">
        <w:trPr>
          <w:trHeight w:val="2291"/>
        </w:trPr>
        <w:tc>
          <w:tcPr>
            <w:tcW w:w="1579" w:type="dxa"/>
          </w:tcPr>
          <w:p w:rsidR="00436018" w:rsidRDefault="00436018">
            <w:pPr>
              <w:pStyle w:val="TableParagraph"/>
              <w:ind w:left="0"/>
            </w:pPr>
          </w:p>
        </w:tc>
        <w:tc>
          <w:tcPr>
            <w:tcW w:w="4586" w:type="dxa"/>
          </w:tcPr>
          <w:p w:rsidR="00436018" w:rsidRDefault="0043601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p w:rsidR="00681178" w:rsidRDefault="00681178">
            <w:pPr>
              <w:pStyle w:val="TableParagraph"/>
              <w:ind w:left="0"/>
            </w:pPr>
          </w:p>
        </w:tc>
        <w:tc>
          <w:tcPr>
            <w:tcW w:w="3083" w:type="dxa"/>
          </w:tcPr>
          <w:p w:rsidR="00436018" w:rsidRDefault="00436018">
            <w:pPr>
              <w:pStyle w:val="TableParagraph"/>
              <w:ind w:left="0"/>
            </w:pPr>
          </w:p>
        </w:tc>
      </w:tr>
    </w:tbl>
    <w:p w:rsidR="00436018" w:rsidRDefault="00436018">
      <w:pPr>
        <w:rPr>
          <w:sz w:val="20"/>
        </w:rPr>
        <w:sectPr w:rsidR="00436018" w:rsidSect="00B97F84">
          <w:headerReference w:type="even" r:id="rId7"/>
          <w:headerReference w:type="default" r:id="rId8"/>
          <w:footerReference w:type="even" r:id="rId9"/>
          <w:footerReference w:type="default" r:id="rId10"/>
          <w:headerReference w:type="first" r:id="rId11"/>
          <w:footerReference w:type="first" r:id="rId12"/>
          <w:pgSz w:w="11910" w:h="16840"/>
          <w:pgMar w:top="1420" w:right="1200" w:bottom="1260" w:left="1220" w:header="720" w:footer="720" w:gutter="0"/>
          <w:cols w:space="720"/>
        </w:sectPr>
      </w:pPr>
    </w:p>
    <w:p w:rsidR="00436018" w:rsidRDefault="00D61CFB" w:rsidP="00C47D1D">
      <w:pPr>
        <w:pStyle w:val="Heading1"/>
        <w:spacing w:before="65"/>
        <w:ind w:left="0"/>
      </w:pPr>
      <w:r>
        <w:t>Possible Alternative Dispute Resolution</w:t>
      </w:r>
    </w:p>
    <w:p w:rsidR="009E692B" w:rsidRDefault="009E692B" w:rsidP="00681178">
      <w:pPr>
        <w:pStyle w:val="BodyText"/>
        <w:spacing w:line="259" w:lineRule="auto"/>
        <w:ind w:right="240"/>
        <w:jc w:val="both"/>
        <w:rPr>
          <w:b/>
          <w:sz w:val="21"/>
        </w:rPr>
      </w:pPr>
    </w:p>
    <w:p w:rsidR="00681178" w:rsidRPr="00681178" w:rsidRDefault="00681178" w:rsidP="00681178">
      <w:pPr>
        <w:pStyle w:val="BodyText"/>
        <w:numPr>
          <w:ilvl w:val="0"/>
          <w:numId w:val="2"/>
        </w:numPr>
        <w:spacing w:line="259" w:lineRule="auto"/>
        <w:ind w:right="240"/>
        <w:jc w:val="both"/>
      </w:pPr>
      <w:r w:rsidRPr="00681178">
        <w:t>Would some form of Alternative Dispute Resolution assist to resolve or narrow the</w:t>
      </w:r>
      <w:r>
        <w:t xml:space="preserve"> </w:t>
      </w:r>
      <w:r w:rsidRPr="00681178">
        <w:t>disputes on appeal? Has this been considered between the party / parties and its</w:t>
      </w:r>
      <w:r>
        <w:t xml:space="preserve"> </w:t>
      </w:r>
      <w:r w:rsidRPr="00681178">
        <w:t>legal representatives and / or explored with the other party / parties to the appeal?</w:t>
      </w:r>
    </w:p>
    <w:p w:rsidR="00681178" w:rsidRDefault="00681178" w:rsidP="00681178">
      <w:pPr>
        <w:pStyle w:val="BodyText"/>
        <w:spacing w:line="259" w:lineRule="auto"/>
        <w:ind w:right="240"/>
        <w:jc w:val="both"/>
      </w:pPr>
    </w:p>
    <w:p w:rsidR="00436018" w:rsidRDefault="00E74810">
      <w:pPr>
        <w:pStyle w:val="BodyText"/>
        <w:ind w:left="112"/>
        <w:rPr>
          <w:sz w:val="20"/>
        </w:rPr>
      </w:pPr>
      <w:r>
        <w:rPr>
          <w:noProof/>
          <w:sz w:val="20"/>
        </w:rPr>
        <mc:AlternateContent>
          <mc:Choice Requires="wpg">
            <w:drawing>
              <wp:inline distT="0" distB="0" distL="0" distR="0" wp14:anchorId="54FD6376" wp14:editId="17DD9969">
                <wp:extent cx="5877560" cy="2193925"/>
                <wp:effectExtent l="0" t="0" r="8890" b="34925"/>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2193925"/>
                          <a:chOff x="0" y="0"/>
                          <a:chExt cx="9256" cy="1306"/>
                        </a:xfrm>
                      </wpg:grpSpPr>
                      <wps:wsp>
                        <wps:cNvPr id="11" name="Line 25"/>
                        <wps:cNvCnPr>
                          <a:cxnSpLocks noChangeShapeType="1"/>
                        </wps:cNvCnPr>
                        <wps:spPr bwMode="auto">
                          <a:xfrm>
                            <a:off x="10" y="5"/>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4"/>
                        <wps:cNvCnPr>
                          <a:cxnSpLocks noChangeShapeType="1"/>
                        </wps:cNvCnPr>
                        <wps:spPr bwMode="auto">
                          <a:xfrm>
                            <a:off x="5" y="0"/>
                            <a:ext cx="0" cy="13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3"/>
                        <wps:cNvCnPr>
                          <a:cxnSpLocks noChangeShapeType="1"/>
                        </wps:cNvCnPr>
                        <wps:spPr bwMode="auto">
                          <a:xfrm>
                            <a:off x="10" y="1301"/>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a:off x="9251" y="0"/>
                            <a:ext cx="0" cy="130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9C0D7D" id="Group 21" o:spid="_x0000_s1026" style="width:462.8pt;height:172.75pt;mso-position-horizontal-relative:char;mso-position-vertical-relative:line" coordsize="9256,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wviQIAAFEKAAAOAAAAZHJzL2Uyb0RvYy54bWzslltv2jAUx98n7TtYeR+5UGiJCH2gLS9s&#10;Q2r3AYzjXDTHtmxD4Nvv2HFogVXTOpW9NA+Rr8fn/H8+tqe3u4ahLVW6FjwL4kEUIMqJyGteZsGP&#10;p4cvNwHSBvMcM8FpFuypDm5nnz9NW5nSRFSC5VQhMMJ12sosqIyRaRhqUtEG64GQlENnIVSDDVRV&#10;GeYKt2C9YWESReOwFSqXShCqNbTedZ3BzNkvCkrM96LQ1CCWBeCbcX/l/mv7D2dTnJYKy6om3g38&#10;Bi8aXHNY9GDqDhuMNqo+M9XURAktCjMgoglFUdSEuhggmjg6iWahxEa6WMq0LeVBJpD2RKc3myXf&#10;tiuF6hzYgTwcN8DILYuS2IrTyjKFMQslH+VKdRFCcSnITw3d4Wm/rZfdYLRuv4oc7OGNEU6cXaEa&#10;awLCRjvHYH9gQHcGEWgc3Vxfj8bgC4G+JJ4MJ8moo0QqQHk2j1T3fiYMHHfT4mE0tnNCnHZLOje9&#10;WzYm2Gv6WU79b3I+VlhSR0lbqXo5417OZc0p6oKwK8OQOe+kJDvupURczCvMS+qMPe0lyOb0B89f&#10;TLEVDRz+KK2FCfp55XptJ8nQK+Q2/kEenEqlzYKKBtlCFjBw2RHD26U2nZL9EAuQi4eaMWjHKeOo&#10;zYJxNBm7CVqwOredtk+rcj1nCm2xzT73eSxHw2CX89wZqyjO733Z4Jp1ZfCTcbfXuug7gmuR71fK&#10;+uZ5Xgpscgz2yoZ0RAmn7wd25Lj6c6vn6rPlbNt/cM1/d6y+krDDY67Di3L1CQsIXdrjtGf7kbN/&#10;dbe9wvbqmG1yUbZwMcFlcH7VvWvaXv//49jduvBucRexf2PZh9HLuju+n1+Cs18AAAD//wMAUEsD&#10;BBQABgAIAAAAIQBkC1Y73QAAAAUBAAAPAAAAZHJzL2Rvd25yZXYueG1sTI9Ba8JAEIXvhf6HZQre&#10;6iZqpE2zERHbkxSqhdLbmB2TYHY2ZNck/nu3vbSXgcd7vPdNthpNI3rqXG1ZQTyNQBAXVtdcKvg8&#10;vD4+gXAeWWNjmRRcycEqv7/LMNV24A/q974UoYRdigoq79tUSldUZNBNbUscvJPtDPogu1LqDodQ&#10;bho5i6KlNFhzWKiwpU1FxXl/MQreBhzW83jb786nzfX7kLx/7WJSavIwrl9AeBr9Xxh+8AM65IHp&#10;aC+snWgUhEf87w3e8yxZgjgqmC+SBGSeyf/0+Q0AAP//AwBQSwECLQAUAAYACAAAACEAtoM4kv4A&#10;AADhAQAAEwAAAAAAAAAAAAAAAAAAAAAAW0NvbnRlbnRfVHlwZXNdLnhtbFBLAQItABQABgAIAAAA&#10;IQA4/SH/1gAAAJQBAAALAAAAAAAAAAAAAAAAAC8BAABfcmVscy8ucmVsc1BLAQItABQABgAIAAAA&#10;IQCMB9wviQIAAFEKAAAOAAAAAAAAAAAAAAAAAC4CAABkcnMvZTJvRG9jLnhtbFBLAQItABQABgAI&#10;AAAAIQBkC1Y73QAAAAUBAAAPAAAAAAAAAAAAAAAAAOMEAABkcnMvZG93bnJldi54bWxQSwUGAAAA&#10;AAQABADzAAAA7QUAAAAA&#10;">
                <v:line id="Line 25" o:spid="_x0000_s1027" style="position:absolute;visibility:visible;mso-wrap-style:square" from="10,5" to="9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4" o:spid="_x0000_s1028" style="position:absolute;visibility:visible;mso-wrap-style:square" from="5,0" to="5,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3" o:spid="_x0000_s1029" style="position:absolute;visibility:visible;mso-wrap-style:square" from="10,1301" to="9246,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22" o:spid="_x0000_s1030" style="position:absolute;visibility:visible;mso-wrap-style:square" from="9251,0" to="9251,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w10:anchorlock/>
              </v:group>
            </w:pict>
          </mc:Fallback>
        </mc:AlternateContent>
      </w:r>
    </w:p>
    <w:p w:rsidR="00436018" w:rsidRDefault="00436018">
      <w:pPr>
        <w:pStyle w:val="BodyText"/>
        <w:spacing w:before="10"/>
        <w:rPr>
          <w:sz w:val="15"/>
        </w:rPr>
      </w:pPr>
    </w:p>
    <w:p w:rsidR="00436018" w:rsidRDefault="00D61CFB">
      <w:pPr>
        <w:pStyle w:val="Heading1"/>
        <w:spacing w:before="90" w:after="17"/>
      </w:pPr>
      <w:r>
        <w:t>Any Other Matters or Comments</w:t>
      </w:r>
    </w:p>
    <w:p w:rsidR="009E692B" w:rsidRDefault="009E692B">
      <w:pPr>
        <w:pStyle w:val="Heading1"/>
        <w:spacing w:before="90" w:after="17"/>
      </w:pPr>
    </w:p>
    <w:p w:rsidR="00436018" w:rsidRDefault="00E74810">
      <w:pPr>
        <w:pStyle w:val="BodyText"/>
        <w:ind w:left="112"/>
        <w:rPr>
          <w:sz w:val="20"/>
        </w:rPr>
      </w:pPr>
      <w:r>
        <w:rPr>
          <w:noProof/>
          <w:sz w:val="20"/>
        </w:rPr>
        <mc:AlternateContent>
          <mc:Choice Requires="wpg">
            <w:drawing>
              <wp:inline distT="0" distB="0" distL="0" distR="0" wp14:anchorId="2B530812" wp14:editId="2B69537C">
                <wp:extent cx="5877560" cy="3435350"/>
                <wp:effectExtent l="0" t="0" r="8890" b="1270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3435350"/>
                          <a:chOff x="0" y="0"/>
                          <a:chExt cx="9256" cy="1150"/>
                        </a:xfrm>
                      </wpg:grpSpPr>
                      <wps:wsp>
                        <wps:cNvPr id="2" name="Line 10"/>
                        <wps:cNvCnPr>
                          <a:cxnSpLocks noChangeShapeType="1"/>
                        </wps:cNvCnPr>
                        <wps:spPr bwMode="auto">
                          <a:xfrm>
                            <a:off x="10" y="5"/>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5" y="0"/>
                            <a:ext cx="0" cy="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8"/>
                        <wps:cNvSpPr>
                          <a:spLocks noChangeArrowheads="1"/>
                        </wps:cNvSpPr>
                        <wps:spPr bwMode="auto">
                          <a:xfrm>
                            <a:off x="0" y="1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0" y="1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 y="1145"/>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9251" y="0"/>
                            <a:ext cx="0" cy="114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9246" y="1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9246" y="1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1BBC2A" id="Group 2" o:spid="_x0000_s1026" style="width:462.8pt;height:270.5pt;mso-position-horizontal-relative:char;mso-position-vertical-relative:line" coordsize="925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OrbQMAAGITAAAOAAAAZHJzL2Uyb0RvYy54bWzsWNtu2zAMfR+wfxD0vjp24qQx6hRFesGA&#10;bivW7gMUW75gtuRJSpzu60dJduJc1hUtGmBb8mBIpkWR55AUo7PzZVmgBRUy5yzE7kkPI8oiHucs&#10;DfG3h+sPpxhJRVhMCs5oiB+pxOeT9+/O6iqgHs94EVOBQAmTQV2FOFOqChxHRhktiTzhFWUgTLgo&#10;iYKpSJ1YkBq0l4Xj9XpDp+YirgSPqJTw9tIK8cToTxIaqS9JIqlCRYjBNmWewjxn+ulMzkiQClJl&#10;edSYQV5gRUlyBpuuVF0SRdBc5DuqyjwSXPJEnUS8dHiS5BE1PoA3bm/LmxvB55XxJQ3qtFrBBNBu&#10;4fRitdHnxZ1AeQzcYcRICRSZXZGnoamrNIAvbkR1X90J6x8Mb3n0XYLY2ZbreWo/RrP6E49BHZkr&#10;bqBZJqLUKsBptDQMPK4YoEuFInjpn45G/hCIikDWH/T9vt9wFGVA5M66KLtqVo49f2iXua5d45DA&#10;bmnMbMzSPkGkyTWY8nVg3mekooYjqaFqwPRaMG9zRpFrfNAbwxdTZpGMlqxBEjE+zQhLqdH18FgB&#10;aq6GHwzvLNETCTT8EVnYDgF8vg3uFtqx128AMtas0CFBJaS6obxEehDiAkw2hJHFrVTajPUnmj/G&#10;r/OigPckKBiqQzzsjYdmgeRFHmuhlkmRzqaFQAuiU8/8jE8g6X4GIc5ioyyjJL5qxorkhR3D5gVr&#10;oNDeWwJnPH68Ey1EQOeBeO1v8DrWDm1wRIK3o9U3rDbp0LLapIrrDo6sPqOi7s/WQcvqVzgvIBEL&#10;ik471La1T9rCt0rXCyF4raMWSshGvtoFz85Xm64thSRoudV5rOugLR+/T1gBVj+VsBv59sy01DnX&#10;SfWnshAJbo9VaANgkHHxE6MajtQQyx9zIihGxUcGGI3dAUQpUmYy8EceTERXMutKCItAVYgVRnY4&#10;VfbcnlciTzPYyTVOM34BJ0ySm0qlMbe1oSkZhysNkJ72/FwH0egYRMcggv50X2+3vxLBCW2DyPQN&#10;w078HKxtgDp07Bxe017vZ3a0waxB+GCdA/TG0N3vdtvt+fImzcPoP2kJ4Q/udt0fdPL2rZuHsTeA&#10;oqG7hIbFY/9gO4u/rX8Y78ZR/xhH/1Qfai4i4CLH/KVuLp30TVF3bvrW9dXY5BcAAAD//wMAUEsD&#10;BBQABgAIAAAAIQAHN8A53gAAAAUBAAAPAAAAZHJzL2Rvd25yZXYueG1sTI/NasMwEITvhbyD2EJv&#10;jey0Dq1rOYSQ9hQK+YHS28ba2CbWyliK7bx91V6ay8Iww8y32WI0jeipc7VlBfE0AkFcWF1zqeCw&#10;f398AeE8ssbGMim4koNFPrnLMNV24C31O1+KUMIuRQWV920qpSsqMuimtiUO3sl2Bn2QXSl1h0Mo&#10;N42cRdFcGqw5LFTY0qqi4ry7GAUfAw7Lp3jdb86n1fV7n3x+bWJS6uF+XL6B8DT6/zD84gd0yAPT&#10;0V5YO9EoCI/4vxu811kyB3FUkDzHEcg8k7f0+Q8AAAD//wMAUEsBAi0AFAAGAAgAAAAhALaDOJL+&#10;AAAA4QEAABMAAAAAAAAAAAAAAAAAAAAAAFtDb250ZW50X1R5cGVzXS54bWxQSwECLQAUAAYACAAA&#10;ACEAOP0h/9YAAACUAQAACwAAAAAAAAAAAAAAAAAvAQAAX3JlbHMvLnJlbHNQSwECLQAUAAYACAAA&#10;ACEA6UKjq20DAABiEwAADgAAAAAAAAAAAAAAAAAuAgAAZHJzL2Uyb0RvYy54bWxQSwECLQAUAAYA&#10;CAAAACEABzfAOd4AAAAFAQAADwAAAAAAAAAAAAAAAADHBQAAZHJzL2Rvd25yZXYueG1sUEsFBgAA&#10;AAAEAAQA8wAAANIGAAAAAA==&#10;">
                <v:line id="Line 10" o:spid="_x0000_s1027" style="position:absolute;visibility:visible;mso-wrap-style:square" from="10,5" to="9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9" o:spid="_x0000_s1028" style="position:absolute;visibility:visible;mso-wrap-style:square" from="5,0" to="5,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rect id="Rectangle 8" o:spid="_x0000_s1029" style="position:absolute;top:1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7" o:spid="_x0000_s1030" style="position:absolute;top:1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6" o:spid="_x0000_s1031" style="position:absolute;visibility:visible;mso-wrap-style:square" from="10,1145" to="924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32" style="position:absolute;visibility:visible;mso-wrap-style:square" from="9251,0" to="925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rect id="Rectangle 4" o:spid="_x0000_s1033" style="position:absolute;left:9246;top:1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3" o:spid="_x0000_s1034" style="position:absolute;left:9246;top:1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sectPr w:rsidR="00436018">
      <w:pgSz w:w="11910" w:h="16840"/>
      <w:pgMar w:top="136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416C" w:rsidRDefault="0019416C" w:rsidP="00225D06">
      <w:r>
        <w:separator/>
      </w:r>
    </w:p>
  </w:endnote>
  <w:endnote w:type="continuationSeparator" w:id="0">
    <w:p w:rsidR="0019416C" w:rsidRDefault="0019416C" w:rsidP="002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F84" w:rsidRDefault="00B97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810" w:rsidRDefault="00B97F84">
    <w:pPr>
      <w:pStyle w:val="Footer"/>
    </w:pPr>
    <w:r>
      <w:rPr>
        <w:szCs w:val="16"/>
      </w:rPr>
      <w:t xml:space="preserve">Version as </w:t>
    </w:r>
    <w:proofErr w:type="gramStart"/>
    <w:r>
      <w:rPr>
        <w:szCs w:val="16"/>
      </w:rPr>
      <w:t>at</w:t>
    </w:r>
    <w:proofErr w:type="gramEnd"/>
    <w:r w:rsidRPr="009B5964">
      <w:rPr>
        <w:szCs w:val="16"/>
      </w:rPr>
      <w:t xml:space="preserve"> 1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F84" w:rsidRDefault="00B9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416C" w:rsidRDefault="0019416C" w:rsidP="00225D06">
      <w:r>
        <w:separator/>
      </w:r>
    </w:p>
  </w:footnote>
  <w:footnote w:type="continuationSeparator" w:id="0">
    <w:p w:rsidR="0019416C" w:rsidRDefault="0019416C" w:rsidP="0022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F84" w:rsidRDefault="00B97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F84" w:rsidRDefault="00B97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F84" w:rsidRDefault="00B97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C88E47"/>
    <w:multiLevelType w:val="hybridMultilevel"/>
    <w:tmpl w:val="008BC8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44542"/>
    <w:multiLevelType w:val="hybridMultilevel"/>
    <w:tmpl w:val="31CFC1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99DB"/>
    <w:multiLevelType w:val="hybridMultilevel"/>
    <w:tmpl w:val="EE406D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213D8"/>
    <w:multiLevelType w:val="hybridMultilevel"/>
    <w:tmpl w:val="7F987F5C"/>
    <w:lvl w:ilvl="0" w:tplc="B01CD0E6">
      <w:start w:val="1"/>
      <w:numFmt w:val="decimal"/>
      <w:lvlText w:val="%1."/>
      <w:lvlJc w:val="left"/>
      <w:pPr>
        <w:ind w:left="360" w:hanging="360"/>
      </w:pPr>
      <w:rPr>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2524A44"/>
    <w:multiLevelType w:val="hybridMultilevel"/>
    <w:tmpl w:val="767485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53547B"/>
    <w:multiLevelType w:val="hybridMultilevel"/>
    <w:tmpl w:val="C98B13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18"/>
    <w:rsid w:val="00041D15"/>
    <w:rsid w:val="00110A7A"/>
    <w:rsid w:val="00176FA2"/>
    <w:rsid w:val="0019416C"/>
    <w:rsid w:val="00225D06"/>
    <w:rsid w:val="002A5EF3"/>
    <w:rsid w:val="003C534C"/>
    <w:rsid w:val="00436018"/>
    <w:rsid w:val="00681178"/>
    <w:rsid w:val="007E6E2A"/>
    <w:rsid w:val="00887C6C"/>
    <w:rsid w:val="008A7C94"/>
    <w:rsid w:val="00910CD0"/>
    <w:rsid w:val="00961D97"/>
    <w:rsid w:val="009E5805"/>
    <w:rsid w:val="009E692B"/>
    <w:rsid w:val="009F258C"/>
    <w:rsid w:val="00B97F84"/>
    <w:rsid w:val="00BD72C2"/>
    <w:rsid w:val="00C47D1D"/>
    <w:rsid w:val="00C675A8"/>
    <w:rsid w:val="00D61CFB"/>
    <w:rsid w:val="00E74810"/>
    <w:rsid w:val="00FF117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FAE8"/>
  <w15:docId w15:val="{2DD83BAB-55A4-4C42-A7B5-38C9488A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
    </w:pPr>
  </w:style>
  <w:style w:type="paragraph" w:styleId="BalloonText">
    <w:name w:val="Balloon Text"/>
    <w:basedOn w:val="Normal"/>
    <w:link w:val="BalloonTextChar"/>
    <w:uiPriority w:val="99"/>
    <w:semiHidden/>
    <w:unhideWhenUsed/>
    <w:rsid w:val="00961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97"/>
    <w:rPr>
      <w:rFonts w:ascii="Segoe UI" w:eastAsia="Times New Roman" w:hAnsi="Segoe UI" w:cs="Segoe UI"/>
      <w:sz w:val="18"/>
      <w:szCs w:val="18"/>
    </w:rPr>
  </w:style>
  <w:style w:type="table" w:styleId="TableGrid">
    <w:name w:val="Table Grid"/>
    <w:basedOn w:val="TableNormal"/>
    <w:uiPriority w:val="39"/>
    <w:rsid w:val="00961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D06"/>
    <w:pPr>
      <w:tabs>
        <w:tab w:val="center" w:pos="4513"/>
        <w:tab w:val="right" w:pos="9026"/>
      </w:tabs>
    </w:pPr>
  </w:style>
  <w:style w:type="character" w:customStyle="1" w:styleId="HeaderChar">
    <w:name w:val="Header Char"/>
    <w:basedOn w:val="DefaultParagraphFont"/>
    <w:link w:val="Header"/>
    <w:uiPriority w:val="99"/>
    <w:rsid w:val="00225D06"/>
    <w:rPr>
      <w:rFonts w:ascii="Times New Roman" w:eastAsia="Times New Roman" w:hAnsi="Times New Roman" w:cs="Times New Roman"/>
    </w:rPr>
  </w:style>
  <w:style w:type="paragraph" w:styleId="Footer">
    <w:name w:val="footer"/>
    <w:basedOn w:val="Normal"/>
    <w:link w:val="FooterChar"/>
    <w:uiPriority w:val="99"/>
    <w:unhideWhenUsed/>
    <w:rsid w:val="00225D06"/>
    <w:pPr>
      <w:tabs>
        <w:tab w:val="center" w:pos="4513"/>
        <w:tab w:val="right" w:pos="9026"/>
      </w:tabs>
    </w:pPr>
  </w:style>
  <w:style w:type="character" w:customStyle="1" w:styleId="FooterChar">
    <w:name w:val="Footer Char"/>
    <w:basedOn w:val="DefaultParagraphFont"/>
    <w:link w:val="Footer"/>
    <w:uiPriority w:val="99"/>
    <w:rsid w:val="00225D06"/>
    <w:rPr>
      <w:rFonts w:ascii="Times New Roman" w:eastAsia="Times New Roman" w:hAnsi="Times New Roman" w:cs="Times New Roman"/>
    </w:rPr>
  </w:style>
  <w:style w:type="paragraph" w:customStyle="1" w:styleId="Default">
    <w:name w:val="Default"/>
    <w:rsid w:val="00887C6C"/>
    <w:pPr>
      <w:widowControl/>
      <w:adjustRightInd w:val="0"/>
    </w:pPr>
    <w:rPr>
      <w:rFonts w:ascii="Times New Roman" w:hAnsi="Times New Roman" w:cs="Times New Roman"/>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LEE (SUPCOURT)</dc:creator>
  <cp:lastModifiedBy>Huilin LOH (SUPCOURT)</cp:lastModifiedBy>
  <cp:revision>1</cp:revision>
  <dcterms:created xsi:type="dcterms:W3CDTF">2022-02-28T07:36:00Z</dcterms:created>
  <dcterms:modified xsi:type="dcterms:W3CDTF">2022-02-28T07:36:00Z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MSIP_Label_4f288355-fb4c-44cd-b9ca-40cfc2aee5f8_Enabled">
    <vt:lpwstr>true</vt:lpwstr>
  </property>
  <property fmtid="{D5CDD505-2E9C-101B-9397-08002B2CF9AE}" pid="6" name="MSIP_Label_4f288355-fb4c-44cd-b9ca-40cfc2aee5f8_SetDate">
    <vt:lpwstr>2022-01-17T10:14:39Z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c9ce0f85-5e0d-44b8-a7f1-5c5220c9eb0e</vt:lpwstr>
  </property>
  <property fmtid="{D5CDD505-2E9C-101B-9397-08002B2CF9AE}" pid="11" name="MSIP_Label_4f288355-fb4c-44cd-b9ca-40cfc2aee5f8_ContentBits">
    <vt:lpwstr>0</vt:lpwstr>
  </property>
</Properties>
</file>